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AAE9">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510142</w:t>
      </w:r>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eastAsia" w:eastAsia="宋体" w:cs="Times New Roman"/>
          <w:b/>
          <w:sz w:val="24"/>
          <w:szCs w:val="24"/>
          <w:highlight w:val="none"/>
          <w:lang w:val="en-US" w:eastAsia="zh-CN"/>
        </w:rPr>
        <w:t>B</w:t>
      </w:r>
      <w:r>
        <w:rPr>
          <w:rFonts w:hint="default" w:ascii="Times New Roman" w:hAnsi="Times New Roman" w:eastAsia="宋体" w:cs="Times New Roman"/>
          <w:b/>
          <w:sz w:val="24"/>
          <w:szCs w:val="24"/>
          <w:highlight w:val="none"/>
          <w:lang w:eastAsia="zh-CN"/>
        </w:rPr>
        <w:t>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 2025</w:t>
      </w:r>
    </w:p>
    <w:p w14:paraId="1751923E">
      <w:pPr>
        <w:tabs>
          <w:tab w:val="left" w:pos="1985"/>
        </w:tabs>
        <w:rPr>
          <w:rFonts w:ascii="Times New Roman" w:hAnsi="Times New Roman"/>
          <w:b/>
          <w:sz w:val="22"/>
          <w:highlight w:val="none"/>
        </w:rPr>
      </w:pPr>
    </w:p>
    <w:p w14:paraId="5BBE80F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w:t>
      </w:r>
      <w:r>
        <w:rPr>
          <w:rFonts w:hint="eastAsia" w:ascii="Times New Roman" w:hAnsi="Times New Roman"/>
          <w:sz w:val="22"/>
          <w:highlight w:val="none"/>
        </w:rPr>
        <w:t>.</w:t>
      </w:r>
      <w:r>
        <w:rPr>
          <w:rFonts w:hint="eastAsia" w:ascii="Times New Roman" w:hAnsi="Times New Roman"/>
          <w:sz w:val="22"/>
          <w:highlight w:val="none"/>
          <w:lang w:val="en-US" w:eastAsia="zh-CN"/>
        </w:rPr>
        <w:t>4.1</w:t>
      </w:r>
    </w:p>
    <w:p w14:paraId="302CF8D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F2C72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event-driven beam management for NR MIMO Phase 5</w:t>
      </w:r>
    </w:p>
    <w:bookmarkEnd w:id="4"/>
    <w:bookmarkEnd w:id="5"/>
    <w:p w14:paraId="164AD02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1083B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448374E">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4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51507B">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9DF7E9E">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7A7B815">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534487E2">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17DDDB5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2DD999E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77DDF9D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8CF2B1E">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2868E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114D266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653366E">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6E7B4B54">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3EDA960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72DB022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77D6ADFE">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510977E4">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5B259B9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7DF98778">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7F215A4">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51D26B2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591E16B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231DF4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5A229E0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234AC53E">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45170151">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22FBA39">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0A133293">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12273B4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3D08CA14">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4405EB4F">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34AFD8BC">
            <w:pPr>
              <w:snapToGrid w:val="0"/>
              <w:spacing w:before="120" w:beforeLines="50" w:after="0"/>
              <w:jc w:val="both"/>
              <w:rPr>
                <w:rFonts w:hint="default" w:ascii="Times New Roman" w:hAnsi="Times New Roman" w:cs="Times New Roman"/>
                <w:bCs/>
                <w:sz w:val="20"/>
                <w:szCs w:val="20"/>
                <w:lang w:val="en-US"/>
              </w:rPr>
            </w:pPr>
          </w:p>
          <w:p w14:paraId="3077982E">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7FC05327">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4A9629CC">
            <w:pPr>
              <w:spacing w:after="0"/>
              <w:rPr>
                <w:rFonts w:hint="default" w:ascii="Times New Roman" w:hAnsi="Times New Roman" w:cs="Times New Roman"/>
                <w:sz w:val="20"/>
                <w:szCs w:val="20"/>
                <w:lang w:eastAsia="ko-KR"/>
              </w:rPr>
            </w:pPr>
          </w:p>
          <w:p w14:paraId="0F533B2A">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4625DB46">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2A71BCA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1"/>
                <w:szCs w:val="21"/>
                <w:vertAlign w:val="baseline"/>
                <w:lang w:val="en-US" w:eastAsia="zh-CN"/>
              </w:rPr>
            </w:pPr>
          </w:p>
        </w:tc>
      </w:tr>
    </w:tbl>
    <w:p w14:paraId="3A1A0F0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[2]. This contribution provides further discussion on RRM requirements for event-driven beam management.</w:t>
      </w:r>
    </w:p>
    <w:p w14:paraId="144845A9">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2"/>
      <w:bookmarkStart w:id="10" w:name="OLE_LINK1"/>
      <w:r>
        <w:rPr>
          <w:rFonts w:ascii="Times New Roman" w:hAnsi="Times New Roman"/>
          <w:i/>
          <w:sz w:val="20"/>
          <w:szCs w:val="20"/>
        </w:rPr>
        <w:t xml:space="preserve"> </w:t>
      </w:r>
    </w:p>
    <w:p w14:paraId="6C19C7A0">
      <w:pPr>
        <w:tabs>
          <w:tab w:val="left" w:pos="1134"/>
        </w:tabs>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According to the WID [2], one of the objectives is to 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 Companies have different interpretention on this objective. Some companies think the wording </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targeting FR2</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means only consider FR2. However, our interpretention about this objective is that even though the target is FR2, it does not preclude FR1.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93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BB3521C">
            <w:pPr>
              <w:tabs>
                <w:tab w:val="left" w:pos="1134"/>
              </w:tabs>
              <w:spacing w:after="180" w:line="240" w:lineRule="exact"/>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b/>
                <w:sz w:val="20"/>
                <w:szCs w:val="20"/>
                <w:lang w:eastAsia="zh-CN"/>
              </w:rPr>
              <w:t xml:space="preserve"> Agreement</w:t>
            </w:r>
            <w:r>
              <w:rPr>
                <w:rFonts w:hint="eastAsia" w:ascii="Times New Roman" w:hAnsi="Times New Roman" w:cs="Times New Roman"/>
                <w:b/>
                <w:sz w:val="20"/>
                <w:szCs w:val="20"/>
                <w:lang w:val="en-US" w:eastAsia="zh-CN"/>
              </w:rPr>
              <w:t>s in RAN4#113 meeting (R4-2420096)</w:t>
            </w:r>
          </w:p>
          <w:p w14:paraId="52A8B86C">
            <w:pPr>
              <w:snapToGrid w:val="0"/>
              <w:spacing w:after="120"/>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1-2: How to define measurement period (evaluation time / measurement time) in Event triggered measurement reporting delay?</w:t>
            </w:r>
          </w:p>
          <w:p w14:paraId="6472E243">
            <w:pPr>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For specifying the RAN4 delay requirement for event 2</w:t>
            </w:r>
          </w:p>
          <w:p w14:paraId="265F0320">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Measure both the current beam and new beam after the starting point, FFS the details.</w:t>
            </w:r>
          </w:p>
          <w:p w14:paraId="37867825">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eastAsiaTheme="minorEastAsia"/>
                <w:b/>
                <w:sz w:val="20"/>
                <w:szCs w:val="20"/>
                <w:lang w:eastAsia="zh-CN"/>
              </w:rPr>
            </w:pPr>
            <w:r>
              <w:rPr>
                <w:rFonts w:hint="default" w:ascii="Times New Roman" w:hAnsi="Times New Roman" w:cs="Times New Roman"/>
                <w:sz w:val="20"/>
                <w:szCs w:val="20"/>
              </w:rPr>
              <w:t>Note: this does not imply to define the delay requirement based on the sum of the current beam measurement period and new beam measurement period, which is pending on further RAN1 discussion.</w:t>
            </w:r>
          </w:p>
          <w:p w14:paraId="22B83A46">
            <w:pPr>
              <w:pStyle w:val="12"/>
              <w:numPr>
                <w:ilvl w:val="0"/>
                <w:numId w:val="7"/>
              </w:numPr>
              <w:overflowPunct/>
              <w:autoSpaceDE/>
              <w:autoSpaceDN/>
              <w:adjustRightInd/>
              <w:snapToGrid w:val="0"/>
              <w:spacing w:after="120"/>
              <w:ind w:firstLineChars="0"/>
              <w:textAlignment w:val="auto"/>
              <w:rPr>
                <w:rFonts w:hint="eastAsia"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rPr>
              <w:t xml:space="preserve">Start the RAN4 RRM discussion for FR2. </w:t>
            </w:r>
          </w:p>
          <w:p w14:paraId="4CA412B9">
            <w:pPr>
              <w:pStyle w:val="12"/>
              <w:numPr>
                <w:ilvl w:val="0"/>
                <w:numId w:val="7"/>
              </w:numPr>
              <w:overflowPunct/>
              <w:autoSpaceDE/>
              <w:autoSpaceDN/>
              <w:adjustRightInd/>
              <w:snapToGrid w:val="0"/>
              <w:spacing w:after="120"/>
              <w:ind w:firstLineChars="0"/>
              <w:textAlignment w:val="auto"/>
              <w:rPr>
                <w:rFonts w:hint="eastAsia"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rPr>
              <w:t>Send LS to RAN1 to ask whether FR1 is covered as well. FFS the exact wording in the LS.</w:t>
            </w:r>
          </w:p>
        </w:tc>
      </w:tr>
    </w:tbl>
    <w:p w14:paraId="03E05FF6">
      <w:pPr>
        <w:tabs>
          <w:tab w:val="left" w:pos="1134"/>
        </w:tabs>
        <w:spacing w:after="180" w:line="240" w:lineRule="exact"/>
        <w:rPr>
          <w:rFonts w:hint="eastAsia" w:ascii="Times New Roman" w:hAnsi="Times New Roman" w:cs="Times New Roman"/>
          <w:sz w:val="20"/>
          <w:szCs w:val="20"/>
          <w:highlight w:val="none"/>
          <w:lang w:val="en-US" w:eastAsia="zh-CN"/>
        </w:rPr>
      </w:pPr>
    </w:p>
    <w:p w14:paraId="7093CAC0">
      <w:pPr>
        <w:tabs>
          <w:tab w:val="left" w:pos="1134"/>
        </w:tabs>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In RAN4 #113 meeting, it was agreed to start the RAN4 RRM discussion for FR2, and send LS to RAN1 to ask whether FR1 is covered as well. However, it was noticed that the LS was missing. And we provided the draft LS in the Annex part of our contribution submitted to RAN4 #114 meeting [3]. However, after discussion, it is noted that RAN1 discussion on feature list for Rel-19 MIMO already discuss this issue. We can further check RAN1 conclusion.</w:t>
      </w:r>
    </w:p>
    <w:p w14:paraId="1E01AFA4">
      <w:pPr>
        <w:tabs>
          <w:tab w:val="left" w:pos="1134"/>
        </w:tabs>
        <w:spacing w:after="180" w:line="240" w:lineRule="exact"/>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According to the latest agreed RAN1 feature list, as duplicated as following, it can be seen that there is no FR1/FR2 differentiation, which means UEIBM apply to both FR1 and FR2. It is necessary to define requirements for FR1.  </w:t>
      </w:r>
    </w:p>
    <w:p w14:paraId="124CF7EA">
      <w:pPr>
        <w:bidi w:val="0"/>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 </w:t>
      </w:r>
      <w:r>
        <w:drawing>
          <wp:inline distT="0" distB="0" distL="114300" distR="114300">
            <wp:extent cx="5782310" cy="3957320"/>
            <wp:effectExtent l="0" t="0" r="889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2310" cy="3957320"/>
                    </a:xfrm>
                    <a:prstGeom prst="rect">
                      <a:avLst/>
                    </a:prstGeom>
                    <a:noFill/>
                    <a:ln>
                      <a:noFill/>
                    </a:ln>
                  </pic:spPr>
                </pic:pic>
              </a:graphicData>
            </a:graphic>
          </wp:inline>
        </w:drawing>
      </w:r>
    </w:p>
    <w:p w14:paraId="776DC551">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41BC535A">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for UEIBM, it is proposed to define RAN4 requirements for FR1, since according to RAN1  feature list, FR1 is consiered for UE-initiated/event-driven beam management.</w:t>
      </w:r>
    </w:p>
    <w:p w14:paraId="76CFE854">
      <w:pPr>
        <w:tabs>
          <w:tab w:val="left" w:pos="1134"/>
        </w:tabs>
        <w:spacing w:after="180" w:line="240" w:lineRule="exact"/>
        <w:rPr>
          <w:rFonts w:hint="eastAsia" w:ascii="Times New Roman" w:hAnsi="Times New Roman" w:eastAsia="宋体" w:cs="Times New Roman"/>
          <w:sz w:val="20"/>
          <w:szCs w:val="20"/>
          <w:highlight w:val="none"/>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3A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3CB2B30">
            <w:pPr>
              <w:pStyle w:val="5"/>
              <w:tabs>
                <w:tab w:val="left" w:pos="432"/>
                <w:tab w:val="clear" w:pos="864"/>
              </w:tabs>
              <w:overflowPunct/>
              <w:autoSpaceDE/>
              <w:autoSpaceDN/>
              <w:adjustRightInd/>
              <w:ind w:left="864" w:hanging="864"/>
              <w:textAlignment w:val="auto"/>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eastAsiaTheme="minorEastAsia"/>
                <w:b/>
                <w:sz w:val="20"/>
                <w:szCs w:val="20"/>
                <w:highlight w:val="none"/>
                <w:u w:val="single"/>
                <w:lang w:eastAsia="zh-CN"/>
              </w:rPr>
              <w:t xml:space="preserve">Issue 1-3: Whether </w:t>
            </w:r>
            <w:r>
              <w:rPr>
                <w:rFonts w:hint="default" w:ascii="Times New Roman" w:hAnsi="Times New Roman" w:eastAsia="宋体" w:cs="Times New Roman"/>
                <w:b/>
                <w:bCs/>
                <w:sz w:val="20"/>
                <w:szCs w:val="20"/>
                <w:highlight w:val="none"/>
                <w:u w:val="single"/>
                <w:lang w:val="sv-SE" w:eastAsia="zh-CN"/>
              </w:rPr>
              <w:t>RAN4</w:t>
            </w:r>
            <w:r>
              <w:rPr>
                <w:rFonts w:hint="default" w:ascii="Times New Roman" w:hAnsi="Times New Roman" w:cs="Times New Roman" w:eastAsiaTheme="minorEastAsia"/>
                <w:b/>
                <w:sz w:val="20"/>
                <w:szCs w:val="20"/>
                <w:highlight w:val="none"/>
                <w:u w:val="single"/>
                <w:lang w:eastAsia="zh-CN"/>
              </w:rPr>
              <w:t xml:space="preserve"> to specify requirements for no time window based or cover both no time window based and with time window based with eventInstanceCount-r19?</w:t>
            </w:r>
          </w:p>
          <w:p w14:paraId="2C31775E">
            <w:pPr>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b/>
                <w:sz w:val="20"/>
                <w:szCs w:val="20"/>
                <w:highlight w:val="none"/>
                <w:lang w:eastAsia="zh-CN"/>
              </w:rPr>
              <w:t>&lt;Way forward &gt;</w:t>
            </w:r>
          </w:p>
          <w:p w14:paraId="62115EA5">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(Qualcomm, Apple, LGE)</w:t>
            </w:r>
          </w:p>
          <w:p w14:paraId="5BF28C3C">
            <w:pPr>
              <w:pStyle w:val="12"/>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requirements for eventInstanceCount-r19 &gt; 1</w:t>
            </w:r>
          </w:p>
          <w:p w14:paraId="37D38D35">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(China Telecom, Nokia, Xiaomi, Samsung, CMCC, Huawei, Ericsson, ZTE, MTK)</w:t>
            </w:r>
          </w:p>
          <w:p w14:paraId="7363782A">
            <w:pPr>
              <w:pStyle w:val="12"/>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lang w:eastAsia="zh-CN"/>
              </w:rPr>
              <w:t>Specify requirements to cover both cases of no time window based and with time window based with configurable eventInstanceCount-r19</w:t>
            </w:r>
          </w:p>
        </w:tc>
      </w:tr>
    </w:tbl>
    <w:p w14:paraId="1A5CB8EA">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0F201699">
      <w:pPr>
        <w:tabs>
          <w:tab w:val="left" w:pos="1134"/>
        </w:tabs>
        <w:spacing w:after="180" w:line="240" w:lineRule="exact"/>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According to RAN1 agreements, as duplicated as below, both no time window based and with time window based are supported. Since the basic feature is without time window, it is necessary to specify requirements. For time window based case, in RAN4#113 meeting, it was agreed that it is RAN4 common understanding that no additional filtering applies for this case compared to the case without time window. However, the evalution time may be different since the report is triggerred when at least one same new beam is greater than or equal to a configurable number M. With above consideration, it is proposed to specify requirements to cover both cases of no time window based and with time window based with configurable 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21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4D85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r>
              <w:rPr>
                <w:rFonts w:hint="eastAsia" w:ascii="Times New Roman" w:hAnsi="Times New Roman" w:cs="Times New Roman"/>
                <w:b/>
                <w:bCs/>
                <w:color w:val="auto"/>
                <w:sz w:val="20"/>
                <w:szCs w:val="20"/>
                <w:highlight w:val="green"/>
                <w:vertAlign w:val="baseline"/>
                <w:lang w:val="en-US" w:eastAsia="zh-CN"/>
              </w:rPr>
              <w:t xml:space="preserve"> meeting</w:t>
            </w:r>
          </w:p>
          <w:p w14:paraId="1D27B500">
            <w:pPr>
              <w:shd w:val="clear" w:color="auto" w:fill="FFFFFF"/>
              <w:snapToGrid w:val="0"/>
              <w:ind w:left="0" w:firstLine="0"/>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Regarding the triggering event determination for Event 2:</w:t>
            </w:r>
          </w:p>
          <w:p w14:paraId="1A269ADC">
            <w:pPr>
              <w:numPr>
                <w:ilvl w:val="0"/>
                <w:numId w:val="9"/>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If within a time window (which is configurable), the number of Event-2 instance(s) for at least one same new beam is greater than or equal to a configurable number M, UE initiated beam report occurs.</w:t>
            </w:r>
          </w:p>
          <w:p w14:paraId="2FAB70CE">
            <w:pPr>
              <w:numPr>
                <w:ilvl w:val="1"/>
                <w:numId w:val="9"/>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Note: Event-2 instance for a new beam is determined if the L1-RSRP of the new beam becomes a threshold value better than the current beam</w:t>
            </w:r>
          </w:p>
          <w:p w14:paraId="5A5079A3">
            <w:pPr>
              <w:snapToGrid w:val="0"/>
              <w:ind w:left="0" w:firstLine="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Above feature is subject to UE capability.</w:t>
            </w:r>
          </w:p>
          <w:p w14:paraId="40101292">
            <w:pPr>
              <w:numPr>
                <w:ilvl w:val="0"/>
                <w:numId w:val="9"/>
              </w:numPr>
              <w:shd w:val="clear" w:color="auto" w:fill="FFFFFF"/>
              <w:snapToGrid w:val="0"/>
              <w:jc w:val="both"/>
              <w:rPr>
                <w:rFonts w:hint="default" w:ascii="Times New Roman" w:hAnsi="Times New Roman" w:cs="Times New Roman"/>
                <w:bCs/>
                <w:iCs/>
                <w:color w:val="auto"/>
                <w:sz w:val="20"/>
                <w:szCs w:val="20"/>
                <w:highlight w:val="none"/>
                <w:lang w:eastAsia="zh-CN"/>
              </w:rPr>
            </w:pPr>
            <w:r>
              <w:rPr>
                <w:rFonts w:hint="default" w:ascii="Times New Roman" w:hAnsi="Times New Roman" w:cs="Times New Roman"/>
                <w:bCs/>
                <w:iCs/>
                <w:color w:val="auto"/>
                <w:sz w:val="20"/>
                <w:szCs w:val="20"/>
                <w:highlight w:val="none"/>
                <w:lang w:eastAsia="zh-CN"/>
              </w:rPr>
              <w:t xml:space="preserve">Basic feature: Once </w:t>
            </w:r>
            <w:r>
              <w:rPr>
                <w:rFonts w:hint="default" w:ascii="Times New Roman" w:hAnsi="Times New Roman" w:cs="Times New Roman"/>
                <w:color w:val="auto"/>
                <w:sz w:val="20"/>
                <w:szCs w:val="20"/>
                <w:highlight w:val="none"/>
                <w:lang w:eastAsia="zh-CN"/>
              </w:rPr>
              <w:t>the L1-RSRP of the new beam becomes a threshold value better than the current beam, UE initiated beam report occurs</w:t>
            </w:r>
          </w:p>
          <w:p w14:paraId="6D15E46A">
            <w:pPr>
              <w:tabs>
                <w:tab w:val="left" w:pos="1134"/>
              </w:tabs>
              <w:spacing w:after="180" w:line="240" w:lineRule="exact"/>
              <w:rPr>
                <w:rFonts w:hint="default" w:ascii="Times New Roman" w:hAnsi="Times New Roman" w:cs="Times New Roman"/>
                <w:sz w:val="20"/>
                <w:szCs w:val="20"/>
                <w:highlight w:val="none"/>
                <w:vertAlign w:val="baseline"/>
                <w:lang w:val="en-US" w:eastAsia="zh-CN"/>
              </w:rPr>
            </w:pPr>
          </w:p>
        </w:tc>
      </w:tr>
    </w:tbl>
    <w:p w14:paraId="3BD59A17">
      <w:pPr>
        <w:tabs>
          <w:tab w:val="left" w:pos="1134"/>
        </w:tabs>
        <w:spacing w:after="180" w:line="240" w:lineRule="exact"/>
        <w:rPr>
          <w:rFonts w:hint="default" w:ascii="Times New Roman" w:hAnsi="Times New Roman" w:cs="Times New Roman"/>
          <w:sz w:val="20"/>
          <w:szCs w:val="20"/>
          <w:highlight w:val="none"/>
          <w:lang w:val="en-US" w:eastAsia="zh-CN"/>
        </w:rPr>
      </w:pPr>
    </w:p>
    <w:p w14:paraId="332FAAB6">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eventInstanceCount-r19.</w:t>
      </w:r>
    </w:p>
    <w:p w14:paraId="3599CA35">
      <w:pPr>
        <w:tabs>
          <w:tab w:val="left" w:pos="1134"/>
        </w:tabs>
        <w:spacing w:after="180" w:line="240" w:lineRule="exact"/>
        <w:rPr>
          <w:rFonts w:hint="eastAsia" w:ascii="Times New Roman" w:hAnsi="Times New Roman" w:eastAsia="宋体" w:cs="Times New Roman"/>
          <w:sz w:val="20"/>
          <w:szCs w:val="20"/>
          <w:highlight w:val="none"/>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EA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1E6AE7">
            <w:pPr>
              <w:pStyle w:val="5"/>
              <w:tabs>
                <w:tab w:val="left" w:pos="432"/>
                <w:tab w:val="clear" w:pos="864"/>
              </w:tabs>
              <w:ind w:left="864" w:hanging="864"/>
              <w:rPr>
                <w:rFonts w:hint="default" w:ascii="Times New Roman" w:hAnsi="Times New Roman" w:cs="Times New Roman"/>
                <w:b/>
                <w:bCs/>
                <w:sz w:val="20"/>
                <w:szCs w:val="20"/>
                <w:highlight w:val="none"/>
                <w:u w:val="single"/>
                <w:lang w:val="sv-SE"/>
              </w:rPr>
            </w:pPr>
            <w:r>
              <w:rPr>
                <w:rFonts w:hint="default" w:ascii="Times New Roman" w:hAnsi="Times New Roman" w:cs="Times New Roman"/>
                <w:b/>
                <w:bCs/>
                <w:sz w:val="20"/>
                <w:szCs w:val="20"/>
                <w:highlight w:val="none"/>
                <w:u w:val="single"/>
                <w:lang w:val="sv-SE"/>
              </w:rPr>
              <w:t>Issue 1-</w:t>
            </w:r>
            <w:r>
              <w:rPr>
                <w:rFonts w:hint="default" w:ascii="Times New Roman" w:hAnsi="Times New Roman" w:eastAsia="宋体" w:cs="Times New Roman"/>
                <w:b/>
                <w:bCs/>
                <w:sz w:val="20"/>
                <w:szCs w:val="20"/>
                <w:highlight w:val="none"/>
                <w:u w:val="single"/>
                <w:lang w:val="en-US" w:eastAsia="zh-CN"/>
              </w:rPr>
              <w:t>8</w:t>
            </w:r>
            <w:r>
              <w:rPr>
                <w:rFonts w:hint="default" w:ascii="Times New Roman" w:hAnsi="Times New Roman" w:cs="Times New Roman"/>
                <w:b/>
                <w:bCs/>
                <w:sz w:val="20"/>
                <w:szCs w:val="20"/>
                <w:highlight w:val="none"/>
                <w:u w:val="single"/>
                <w:lang w:val="sv-SE"/>
              </w:rPr>
              <w:t>: Capabilities for Support of Event Triggering and Reporting Criteria (similar Capabilities in 38.133 9.1.4)?</w:t>
            </w:r>
          </w:p>
          <w:p w14:paraId="59A9CAA0">
            <w:pPr>
              <w:rPr>
                <w:rFonts w:hint="default" w:ascii="Times New Roman" w:hAnsi="Times New Roman" w:cs="Times New Roman"/>
                <w:b/>
                <w:sz w:val="20"/>
                <w:szCs w:val="20"/>
                <w:highlight w:val="none"/>
                <w:lang w:eastAsia="zh-CN"/>
              </w:rPr>
            </w:pPr>
            <w:r>
              <w:rPr>
                <w:rFonts w:hint="default" w:ascii="Times New Roman" w:hAnsi="Times New Roman" w:cs="Times New Roman"/>
                <w:b/>
                <w:sz w:val="20"/>
                <w:szCs w:val="20"/>
                <w:highlight w:val="none"/>
                <w:lang w:eastAsia="zh-CN"/>
              </w:rPr>
              <w:t>&lt;Way forward &gt;</w:t>
            </w:r>
          </w:p>
          <w:p w14:paraId="46FCFF63">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lang w:eastAsia="zh-CN"/>
              </w:rPr>
              <w:t>Option</w:t>
            </w:r>
            <w:r>
              <w:rPr>
                <w:rFonts w:hint="default" w:ascii="Times New Roman" w:hAnsi="Times New Roman" w:eastAsia="宋体" w:cs="Times New Roman"/>
                <w:sz w:val="20"/>
                <w:szCs w:val="20"/>
              </w:rPr>
              <w:t xml:space="preserve"> 1: (Samsung, Apple, Huawei, Ericsson)</w:t>
            </w:r>
          </w:p>
          <w:p w14:paraId="72DE459D">
            <w:pPr>
              <w:pStyle w:val="12"/>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For </w:t>
            </w:r>
            <w:r>
              <w:rPr>
                <w:rFonts w:hint="default" w:ascii="Times New Roman" w:hAnsi="Times New Roman" w:eastAsia="宋体" w:cs="Times New Roman"/>
                <w:sz w:val="20"/>
                <w:szCs w:val="20"/>
                <w:lang w:eastAsia="zh-CN"/>
              </w:rPr>
              <w:t>event</w:t>
            </w:r>
            <w:r>
              <w:rPr>
                <w:rFonts w:hint="default" w:ascii="Times New Roman" w:hAnsi="Times New Roman" w:eastAsia="宋体" w:cs="Times New Roman"/>
                <w:sz w:val="20"/>
                <w:szCs w:val="20"/>
              </w:rPr>
              <w:t xml:space="preserve"> trigger L1 reporting, do not define such capability in parallel per category like L3.</w:t>
            </w:r>
          </w:p>
          <w:p w14:paraId="54219145">
            <w:pPr>
              <w:pStyle w:val="12"/>
              <w:numPr>
                <w:ilvl w:val="0"/>
                <w:numId w:val="8"/>
              </w:numPr>
              <w:overflowPunct/>
              <w:autoSpaceDE/>
              <w:autoSpaceDN/>
              <w:adjustRightInd/>
              <w:spacing w:after="120"/>
              <w:ind w:left="72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lang w:eastAsia="zh-CN"/>
              </w:rPr>
              <w:t>Option</w:t>
            </w:r>
            <w:r>
              <w:rPr>
                <w:rFonts w:hint="default" w:ascii="Times New Roman" w:hAnsi="Times New Roman" w:eastAsia="宋体" w:cs="Times New Roman"/>
                <w:sz w:val="20"/>
                <w:szCs w:val="20"/>
              </w:rPr>
              <w:t xml:space="preserve"> 2: (Nokia, MTK)</w:t>
            </w:r>
          </w:p>
          <w:p w14:paraId="26CEDA03">
            <w:pPr>
              <w:pStyle w:val="12"/>
              <w:numPr>
                <w:ilvl w:val="1"/>
                <w:numId w:val="8"/>
              </w:numPr>
              <w:overflowPunct/>
              <w:autoSpaceDE/>
              <w:autoSpaceDN/>
              <w:adjustRightInd/>
              <w:spacing w:after="120"/>
              <w:ind w:firstLine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rPr>
              <w:t xml:space="preserve">Define capabilities for support of UE-initiated/event-driven beam reporting on top of existing L3 events in section 9.1.4. </w:t>
            </w:r>
            <w:r>
              <w:rPr>
                <w:rFonts w:hint="default" w:ascii="Times New Roman" w:hAnsi="Times New Roman" w:eastAsia="PMingLiU" w:cs="Times New Roman"/>
                <w:sz w:val="20"/>
                <w:szCs w:val="20"/>
              </w:rPr>
              <w:t>For intra-frequency, numbers of event = X, where X is candidate value of [3 or 6 or 9].</w:t>
            </w:r>
          </w:p>
          <w:p w14:paraId="062D45E7">
            <w:pPr>
              <w:pStyle w:val="12"/>
              <w:numPr>
                <w:ilvl w:val="0"/>
                <w:numId w:val="0"/>
              </w:numPr>
              <w:overflowPunct/>
              <w:autoSpaceDE/>
              <w:autoSpaceDN/>
              <w:adjustRightInd/>
              <w:snapToGrid w:val="0"/>
              <w:spacing w:after="120"/>
              <w:textAlignment w:val="auto"/>
              <w:rPr>
                <w:rFonts w:hint="default" w:ascii="Times New Roman" w:hAnsi="Times New Roman" w:eastAsia="宋体" w:cs="Times New Roman"/>
                <w:sz w:val="20"/>
                <w:szCs w:val="20"/>
                <w:highlight w:val="none"/>
              </w:rPr>
            </w:pPr>
          </w:p>
          <w:p w14:paraId="7190AADB">
            <w:pPr>
              <w:pStyle w:val="5"/>
              <w:tabs>
                <w:tab w:val="left" w:pos="432"/>
                <w:tab w:val="clear" w:pos="864"/>
              </w:tabs>
              <w:ind w:left="864" w:hanging="864"/>
              <w:rPr>
                <w:rFonts w:hint="default" w:ascii="Times New Roman" w:hAnsi="Times New Roman" w:cs="Times New Roman"/>
                <w:b/>
                <w:bCs/>
                <w:sz w:val="20"/>
                <w:szCs w:val="20"/>
                <w:highlight w:val="none"/>
                <w:u w:val="single"/>
                <w:lang w:val="sv-SE"/>
              </w:rPr>
            </w:pPr>
            <w:r>
              <w:rPr>
                <w:rFonts w:hint="default" w:ascii="Times New Roman" w:hAnsi="Times New Roman" w:cs="Times New Roman"/>
                <w:b/>
                <w:bCs/>
                <w:sz w:val="20"/>
                <w:szCs w:val="20"/>
                <w:highlight w:val="none"/>
                <w:u w:val="single"/>
                <w:lang w:val="sv-SE"/>
              </w:rPr>
              <w:t>Issue 1-</w:t>
            </w:r>
            <w:r>
              <w:rPr>
                <w:rFonts w:hint="default" w:ascii="Times New Roman" w:hAnsi="Times New Roman" w:eastAsia="宋体" w:cs="Times New Roman"/>
                <w:b/>
                <w:bCs/>
                <w:sz w:val="20"/>
                <w:szCs w:val="20"/>
                <w:highlight w:val="none"/>
                <w:u w:val="single"/>
                <w:lang w:val="en-US" w:eastAsia="zh-CN"/>
              </w:rPr>
              <w:t>9</w:t>
            </w:r>
            <w:r>
              <w:rPr>
                <w:rFonts w:hint="default" w:ascii="Times New Roman" w:hAnsi="Times New Roman" w:cs="Times New Roman"/>
                <w:b/>
                <w:bCs/>
                <w:sz w:val="20"/>
                <w:szCs w:val="20"/>
                <w:highlight w:val="none"/>
                <w:u w:val="single"/>
                <w:lang w:val="sv-SE"/>
              </w:rPr>
              <w:t>: Compatibility of capabilities with LTM</w:t>
            </w:r>
          </w:p>
          <w:p w14:paraId="2013C95A">
            <w:pPr>
              <w:rPr>
                <w:rFonts w:hint="default" w:ascii="Times New Roman" w:hAnsi="Times New Roman" w:cs="Times New Roman"/>
                <w:b/>
                <w:sz w:val="20"/>
                <w:szCs w:val="20"/>
                <w:highlight w:val="none"/>
                <w:lang w:eastAsia="zh-CN"/>
              </w:rPr>
            </w:pPr>
            <w:r>
              <w:rPr>
                <w:rFonts w:hint="default" w:ascii="Times New Roman" w:hAnsi="Times New Roman" w:cs="Times New Roman"/>
                <w:b/>
                <w:sz w:val="20"/>
                <w:szCs w:val="20"/>
                <w:highlight w:val="none"/>
                <w:lang w:eastAsia="zh-CN"/>
              </w:rPr>
              <w:t>&lt;Way forward &gt;</w:t>
            </w:r>
          </w:p>
          <w:p w14:paraId="232CC455">
            <w:pPr>
              <w:pStyle w:val="12"/>
              <w:numPr>
                <w:ilvl w:val="0"/>
                <w:numId w:val="8"/>
              </w:numPr>
              <w:overflowPunct/>
              <w:autoSpaceDE/>
              <w:autoSpaceDN/>
              <w:adjustRightInd/>
              <w:spacing w:after="120"/>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If such capabilities are defined in Issue 1-8, then discuss on:</w:t>
            </w:r>
          </w:p>
          <w:p w14:paraId="7BA0832E">
            <w:pPr>
              <w:pStyle w:val="12"/>
              <w:numPr>
                <w:ilvl w:val="0"/>
                <w:numId w:val="8"/>
              </w:numPr>
              <w:overflowPunct/>
              <w:autoSpaceDE/>
              <w:autoSpaceDN/>
              <w:adjustRightInd/>
              <w:spacing w:after="120"/>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eastAsia="zh-CN"/>
              </w:rPr>
              <w:t xml:space="preserve">Option 1: </w:t>
            </w:r>
          </w:p>
          <w:p w14:paraId="66446D1B">
            <w:pPr>
              <w:pStyle w:val="12"/>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lang w:val="en-US" w:eastAsia="zh-CN"/>
              </w:rPr>
              <w:t xml:space="preserve">The </w:t>
            </w:r>
            <w:r>
              <w:rPr>
                <w:rFonts w:hint="default" w:ascii="Times New Roman" w:hAnsi="Times New Roman" w:eastAsia="宋体" w:cs="Times New Roman"/>
                <w:sz w:val="20"/>
                <w:szCs w:val="20"/>
                <w:lang w:val="en-US"/>
              </w:rPr>
              <w:t>capability for supported number of events triggered L1 measurement reporting</w:t>
            </w:r>
            <w:r>
              <w:rPr>
                <w:rFonts w:hint="default" w:ascii="Times New Roman" w:hAnsi="Times New Roman" w:cs="Times New Roman"/>
                <w:sz w:val="20"/>
                <w:szCs w:val="20"/>
                <w:lang w:val="en-US" w:eastAsia="zh-CN"/>
              </w:rPr>
              <w:t xml:space="preserve"> is defined separately for Rel-19 mobility and Rel-19 MIMO.</w:t>
            </w:r>
          </w:p>
          <w:p w14:paraId="1BCFC27A">
            <w:pPr>
              <w:pStyle w:val="12"/>
              <w:numPr>
                <w:ilvl w:val="0"/>
                <w:numId w:val="8"/>
              </w:numPr>
              <w:overflowPunct/>
              <w:autoSpaceDE/>
              <w:autoSpaceDN/>
              <w:adjustRightInd/>
              <w:spacing w:after="120"/>
              <w:ind w:left="720" w:firstLineChars="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eastAsia="zh-CN"/>
              </w:rPr>
              <w:t xml:space="preserve">Option 2: </w:t>
            </w:r>
          </w:p>
          <w:p w14:paraId="65C6EC78">
            <w:pPr>
              <w:pStyle w:val="12"/>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lang w:val="en-US" w:eastAsia="zh-CN"/>
              </w:rPr>
              <w:t xml:space="preserve">The </w:t>
            </w:r>
            <w:r>
              <w:rPr>
                <w:rFonts w:hint="default" w:ascii="Times New Roman" w:hAnsi="Times New Roman" w:eastAsia="宋体" w:cs="Times New Roman"/>
                <w:sz w:val="20"/>
                <w:szCs w:val="20"/>
                <w:lang w:val="en-US"/>
              </w:rPr>
              <w:t>capability for supported number of events triggered L1 measurement reporting</w:t>
            </w:r>
            <w:r>
              <w:rPr>
                <w:rFonts w:hint="default" w:ascii="Times New Roman" w:hAnsi="Times New Roman" w:cs="Times New Roman"/>
                <w:sz w:val="20"/>
                <w:szCs w:val="20"/>
                <w:lang w:val="en-US" w:eastAsia="zh-CN"/>
              </w:rPr>
              <w:t xml:space="preserve"> is defined as common for Rel-19 mobility and Rel-19 MIMO.</w:t>
            </w:r>
          </w:p>
          <w:p w14:paraId="1DF802AD">
            <w:pPr>
              <w:pStyle w:val="12"/>
              <w:numPr>
                <w:ilvl w:val="0"/>
                <w:numId w:val="0"/>
              </w:numPr>
              <w:overflowPunct/>
              <w:autoSpaceDE/>
              <w:autoSpaceDN/>
              <w:adjustRightInd/>
              <w:snapToGrid w:val="0"/>
              <w:spacing w:after="120"/>
              <w:textAlignment w:val="auto"/>
              <w:rPr>
                <w:rFonts w:hint="default" w:ascii="Times New Roman" w:hAnsi="Times New Roman" w:eastAsia="宋体" w:cs="Times New Roman"/>
                <w:sz w:val="20"/>
                <w:szCs w:val="20"/>
                <w:highlight w:val="none"/>
                <w:lang w:val="en-US" w:eastAsia="zh-CN"/>
              </w:rPr>
            </w:pPr>
          </w:p>
        </w:tc>
      </w:tr>
    </w:tbl>
    <w:p w14:paraId="2572E7AB">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5E59F3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preferred to define the capability. However,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LS to RAN1 can be considered if necessary. On the other hand, some companies do not think it is needed to define such capability, since different from L3 measurement with different types of events, the measurement type is only based on RSRP for L1 measurement. And it will not be supported to measure and report the different events at the same reporting. We do not have strong view, the key consideration is that if it is agreed to define the capability in RAN4, it is not a good way to replace or update legacy capability for event triggered L3 measurement reporting. It is prefered to define a separate capability for supported number of events triggered L1 measurement reporting.</w:t>
      </w:r>
    </w:p>
    <w:p w14:paraId="71766619">
      <w:pPr>
        <w:tabs>
          <w:tab w:val="left" w:pos="1134"/>
        </w:tabs>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highlight w:val="none"/>
          <w:lang w:val="en-US" w:eastAsia="zh-CN"/>
        </w:rPr>
        <w:t xml:space="preserve">Proposal 3: if it is agreed to define capabilities for support of L1 event triggering and reporting criteria, it is proposed to define a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separate capability for L1 measurement, not prefer to mix L1 measurement reporting capability with legacy L3 measurement reporting capability. </w:t>
      </w:r>
      <w:r>
        <w:rPr>
          <w:rFonts w:hint="eastAsia" w:ascii="Times New Roman" w:hAnsi="Times New Roman" w:cs="Times New Roman"/>
          <w:b/>
          <w:bCs/>
          <w:i/>
          <w:iCs/>
          <w:sz w:val="20"/>
          <w:szCs w:val="20"/>
          <w:highlight w:val="none"/>
          <w:lang w:val="en-US" w:eastAsia="zh-CN"/>
        </w:rPr>
        <w:t xml:space="preserve"> </w:t>
      </w:r>
    </w:p>
    <w:p w14:paraId="7ACA0ED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triggered L1 measurement reporting are considered for both Rel-19 MIMO and Rel-19 Mobility. However, considering that Rel-19 MIMO and Rel-19 Mobility are two parallel on-going work item, it is not prefered to mix the discussion. And in last meeting, this issue was discussed in WI on mobility enahncement, and it was agreed that RAN4 shall develop the two features independently at current stage. Further discussion on common capability is allowed when discussing UE feature list of R19.</w:t>
      </w:r>
    </w:p>
    <w:p w14:paraId="54AC389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b/>
          <w:bCs/>
          <w:i/>
          <w:iCs/>
          <w:sz w:val="20"/>
          <w:szCs w:val="20"/>
          <w:lang w:val="en-US" w:eastAsia="zh-CN"/>
        </w:rPr>
        <w:t xml:space="preserve">Proposal 4: </w:t>
      </w:r>
      <w:r>
        <w:rPr>
          <w:rFonts w:hint="eastAsia" w:ascii="Times New Roman" w:hAnsi="Times New Roman" w:cs="Times New Roman"/>
          <w:b/>
          <w:bCs/>
          <w:i/>
          <w:iCs/>
          <w:sz w:val="20"/>
          <w:szCs w:val="20"/>
          <w:highlight w:val="none"/>
          <w:lang w:val="en-US" w:eastAsia="zh-CN"/>
        </w:rPr>
        <w:t xml:space="preserve">if it is agreed to define capabilities for support of L1 event triggering and reporting criteria, </w:t>
      </w:r>
      <w:r>
        <w:rPr>
          <w:rFonts w:hint="eastAsia" w:ascii="Times New Roman" w:hAnsi="Times New Roman" w:cs="Times New Roman"/>
          <w:b/>
          <w:bCs/>
          <w:i/>
          <w:iCs/>
          <w:sz w:val="20"/>
          <w:szCs w:val="20"/>
          <w:lang w:val="en-US" w:eastAsia="zh-CN"/>
        </w:rPr>
        <w:t xml:space="preserve">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bookmarkEnd w:id="9"/>
    <w:bookmarkEnd w:id="10"/>
    <w:p w14:paraId="76E8551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E8C943C">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requirements for event-driven beam management for </w:t>
      </w:r>
      <w:r>
        <w:rPr>
          <w:rFonts w:hint="eastAsia" w:ascii="Times New Roman" w:hAnsi="Times New Roman"/>
          <w:sz w:val="20"/>
          <w:szCs w:val="20"/>
          <w:highlight w:val="none"/>
        </w:rPr>
        <w:t>NR MIMO Phase 5. The proposals are:</w:t>
      </w:r>
    </w:p>
    <w:p w14:paraId="1B931239">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for UEIBM, it is proposed to define RAN4 requirements for FR1, since according to RAN1  feature list, FR1 is consiered for UE-initiated/event-driven beam management.</w:t>
      </w:r>
    </w:p>
    <w:p w14:paraId="10E27F66">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eventInstanceCount-r19.</w:t>
      </w:r>
    </w:p>
    <w:p w14:paraId="7108EC89">
      <w:pPr>
        <w:tabs>
          <w:tab w:val="left" w:pos="1134"/>
        </w:tabs>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b/>
          <w:bCs/>
          <w:i/>
          <w:iCs/>
          <w:sz w:val="20"/>
          <w:szCs w:val="20"/>
          <w:highlight w:val="none"/>
          <w:lang w:val="en-US" w:eastAsia="zh-CN"/>
        </w:rPr>
        <w:t xml:space="preserve">Proposal 3: if it is agreed to define capabilities for support of L1 event triggering and reporting criteria, it is proposed to define a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separate capability for L1 measurement, not prefer to mix L1 measurement reporting capability with legacy L3 measurement reporting capability. </w:t>
      </w:r>
      <w:r>
        <w:rPr>
          <w:rFonts w:hint="eastAsia" w:ascii="Times New Roman" w:hAnsi="Times New Roman" w:cs="Times New Roman"/>
          <w:b/>
          <w:bCs/>
          <w:i/>
          <w:iCs/>
          <w:sz w:val="20"/>
          <w:szCs w:val="20"/>
          <w:highlight w:val="none"/>
          <w:lang w:val="en-US" w:eastAsia="zh-CN"/>
        </w:rPr>
        <w:t xml:space="preserve"> </w:t>
      </w:r>
    </w:p>
    <w:p w14:paraId="13816F3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b/>
          <w:bCs/>
          <w:i/>
          <w:iCs/>
          <w:sz w:val="20"/>
          <w:szCs w:val="20"/>
          <w:lang w:val="en-US" w:eastAsia="zh-CN"/>
        </w:rPr>
        <w:t xml:space="preserve">Proposal 4: </w:t>
      </w:r>
      <w:r>
        <w:rPr>
          <w:rFonts w:hint="eastAsia" w:ascii="Times New Roman" w:hAnsi="Times New Roman" w:cs="Times New Roman"/>
          <w:b/>
          <w:bCs/>
          <w:i/>
          <w:iCs/>
          <w:sz w:val="20"/>
          <w:szCs w:val="20"/>
          <w:highlight w:val="none"/>
          <w:lang w:val="en-US" w:eastAsia="zh-CN"/>
        </w:rPr>
        <w:t xml:space="preserve">if it is agreed to define capabilities for support of L1 event triggering and reporting criteria, </w:t>
      </w:r>
      <w:r>
        <w:rPr>
          <w:rFonts w:hint="eastAsia" w:ascii="Times New Roman" w:hAnsi="Times New Roman" w:cs="Times New Roman"/>
          <w:b/>
          <w:bCs/>
          <w:i/>
          <w:iCs/>
          <w:sz w:val="20"/>
          <w:szCs w:val="20"/>
          <w:lang w:val="en-US" w:eastAsia="zh-CN"/>
        </w:rPr>
        <w:t xml:space="preserve">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50EADA85">
      <w:pPr>
        <w:tabs>
          <w:tab w:val="left" w:pos="1134"/>
        </w:tabs>
        <w:spacing w:after="180" w:line="240" w:lineRule="exact"/>
        <w:rPr>
          <w:rFonts w:hint="eastAsia" w:ascii="Times New Roman" w:hAnsi="Times New Roman"/>
          <w:sz w:val="20"/>
          <w:szCs w:val="20"/>
          <w:highlight w:val="none"/>
        </w:rPr>
      </w:pPr>
      <w:bookmarkStart w:id="11" w:name="_GoBack"/>
      <w:bookmarkEnd w:id="11"/>
    </w:p>
    <w:p w14:paraId="3799E71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168AA6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3854BCD4">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w:t>
      </w:r>
      <w:r>
        <w:rPr>
          <w:rFonts w:hint="eastAsia" w:ascii="Times New Roman" w:hAnsi="Times New Roman" w:eastAsia="宋体" w:cs="Times New Roman"/>
          <w:b w:val="0"/>
          <w:sz w:val="20"/>
          <w:lang w:val="en-US" w:eastAsia="zh-CN"/>
        </w:rPr>
        <w:t>8271, WF on RRM requirements for NR_MIMO_Ph5_Part1, Samsung</w:t>
      </w:r>
    </w:p>
    <w:p w14:paraId="4B6C3F55">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R4-2501081</w:t>
      </w:r>
      <w:r>
        <w:rPr>
          <w:rFonts w:hint="eastAsia" w:ascii="Times New Roman" w:hAnsi="Times New Roman" w:eastAsia="宋体" w:cs="Times New Roman"/>
          <w:b w:val="0"/>
          <w:sz w:val="20"/>
          <w:lang w:val="en-US" w:eastAsia="zh-CN"/>
        </w:rPr>
        <w:t>, Discussion on RRM requirements for event-driven beam management for NR MIMO Phase 5, CMCC</w:t>
      </w:r>
    </w:p>
    <w:p w14:paraId="3CCEC4B6">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R4-2504902</w:t>
      </w:r>
      <w:r>
        <w:rPr>
          <w:rFonts w:hint="eastAsia" w:ascii="Times New Roman" w:hAnsi="Times New Roman" w:eastAsia="宋体" w:cs="Times New Roman"/>
          <w:b w:val="0"/>
          <w:sz w:val="20"/>
          <w:lang w:val="en-US" w:eastAsia="zh-CN"/>
        </w:rPr>
        <w:t>, WF on RRM requirements for NR_MIMO_Ph5_Part1, Samsung</w:t>
      </w:r>
    </w:p>
    <w:p w14:paraId="67AC022A">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R4-2502595, WF on RRM requirements for NR_MIMO_Ph5_Part1, Samsung</w:t>
      </w:r>
    </w:p>
    <w:p w14:paraId="6AF6B0F3">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R4-2420096</w:t>
      </w:r>
      <w:r>
        <w:rPr>
          <w:rFonts w:hint="eastAsia" w:ascii="Times New Roman" w:hAnsi="Times New Roman" w:eastAsia="宋体" w:cs="Times New Roman"/>
          <w:b w:val="0"/>
          <w:sz w:val="20"/>
          <w:lang w:val="en-US" w:eastAsia="zh-CN"/>
        </w:rPr>
        <w:t>, WF on RRM requirements for NR_MIMO_Ph5_Part, Samsung</w:t>
      </w:r>
    </w:p>
    <w:p w14:paraId="216AA171">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R1-2410914</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LS to RAN4 on event-instance evaluation periodicity for UE-initiated/event-driven beam management</w:t>
      </w:r>
    </w:p>
    <w:p w14:paraId="67365D74">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R4-2416856</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NR_MIMO_Ph5_Part1</w:t>
      </w:r>
      <w:r>
        <w:rPr>
          <w:rFonts w:hint="eastAsia" w:ascii="Times New Roman" w:hAnsi="Times New Roman" w:eastAsia="宋体" w:cs="Times New Roman"/>
          <w:b w:val="0"/>
          <w:sz w:val="20"/>
          <w:lang w:val="en-US" w:eastAsia="zh-CN"/>
        </w:rPr>
        <w:t>, Samsung</w:t>
      </w:r>
    </w:p>
    <w:p w14:paraId="1A68A34E">
      <w:pPr>
        <w:pStyle w:val="13"/>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5F108E2D">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5C154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78A9267C">
      <w:pPr>
        <w:pStyle w:val="13"/>
        <w:framePr w:wrap="auto" w:vAnchor="margin" w:hAnchor="text" w:yAlign="inline"/>
        <w:ind w:right="400"/>
        <w:jc w:val="both"/>
        <w:rPr>
          <w:rFonts w:ascii="Times" w:hAnsi="Times" w:eastAsia="宋体"/>
          <w:b w:val="0"/>
          <w:sz w:val="20"/>
          <w:lang w:eastAsia="zh-CN"/>
        </w:rPr>
      </w:pPr>
    </w:p>
    <w:p w14:paraId="7C432E25">
      <w:pPr>
        <w:pStyle w:val="13"/>
        <w:framePr w:wrap="auto" w:vAnchor="margin" w:hAnchor="text" w:yAlign="inline"/>
        <w:ind w:right="400"/>
        <w:jc w:val="both"/>
        <w:rPr>
          <w:rFonts w:hint="eastAsia" w:ascii="Times" w:hAnsi="Times" w:eastAsia="宋体"/>
          <w:b w:val="0"/>
          <w:sz w:val="20"/>
          <w:lang w:val="en-US" w:eastAsia="zh-CN"/>
        </w:rPr>
      </w:pPr>
    </w:p>
    <w:p w14:paraId="1A62D3C5"/>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EF811"/>
    <w:multiLevelType w:val="singleLevel"/>
    <w:tmpl w:val="1E9EF8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4CE00AA"/>
    <w:multiLevelType w:val="multilevel"/>
    <w:tmpl w:val="34CE00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7">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8"/>
  </w:num>
  <w:num w:numId="2">
    <w:abstractNumId w:val="1"/>
  </w:num>
  <w:num w:numId="3">
    <w:abstractNumId w:val="7"/>
  </w:num>
  <w:num w:numId="4">
    <w:abstractNumId w:val="9"/>
  </w:num>
  <w:num w:numId="5">
    <w:abstractNumId w:val="3"/>
  </w:num>
  <w:num w:numId="6">
    <w:abstractNumId w:val="5"/>
  </w:num>
  <w:num w:numId="7">
    <w:abstractNumId w:val="2"/>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2195"/>
    <w:rsid w:val="043F4B84"/>
    <w:rsid w:val="051204CF"/>
    <w:rsid w:val="060025E6"/>
    <w:rsid w:val="0BCA3494"/>
    <w:rsid w:val="0D15043A"/>
    <w:rsid w:val="0F9878A4"/>
    <w:rsid w:val="123553DF"/>
    <w:rsid w:val="12625C75"/>
    <w:rsid w:val="13AF57DB"/>
    <w:rsid w:val="156C59E4"/>
    <w:rsid w:val="168E11C7"/>
    <w:rsid w:val="17012C29"/>
    <w:rsid w:val="176F4F02"/>
    <w:rsid w:val="17BE4C81"/>
    <w:rsid w:val="18F5277F"/>
    <w:rsid w:val="1CDD55E8"/>
    <w:rsid w:val="1EB54EF3"/>
    <w:rsid w:val="1F7774AB"/>
    <w:rsid w:val="22396A16"/>
    <w:rsid w:val="240441D3"/>
    <w:rsid w:val="24664566"/>
    <w:rsid w:val="28B975DD"/>
    <w:rsid w:val="2A736F8A"/>
    <w:rsid w:val="2BD91045"/>
    <w:rsid w:val="2C153E60"/>
    <w:rsid w:val="2D8D11DF"/>
    <w:rsid w:val="30067314"/>
    <w:rsid w:val="31487073"/>
    <w:rsid w:val="315C5288"/>
    <w:rsid w:val="31BE79F2"/>
    <w:rsid w:val="35D13059"/>
    <w:rsid w:val="362D624A"/>
    <w:rsid w:val="37924C93"/>
    <w:rsid w:val="37CB3669"/>
    <w:rsid w:val="3B725871"/>
    <w:rsid w:val="3BFC0B7A"/>
    <w:rsid w:val="3CD91462"/>
    <w:rsid w:val="3DDC6D40"/>
    <w:rsid w:val="4004001B"/>
    <w:rsid w:val="430147FA"/>
    <w:rsid w:val="435527BA"/>
    <w:rsid w:val="445960B0"/>
    <w:rsid w:val="447C1AE8"/>
    <w:rsid w:val="4892419C"/>
    <w:rsid w:val="49E21E05"/>
    <w:rsid w:val="4ACE3438"/>
    <w:rsid w:val="4BED21D9"/>
    <w:rsid w:val="4C147660"/>
    <w:rsid w:val="4FAF75AB"/>
    <w:rsid w:val="507D459A"/>
    <w:rsid w:val="54465448"/>
    <w:rsid w:val="54B21203"/>
    <w:rsid w:val="55575ACD"/>
    <w:rsid w:val="582975E4"/>
    <w:rsid w:val="59727D3C"/>
    <w:rsid w:val="5A9E7E08"/>
    <w:rsid w:val="5B3A26EB"/>
    <w:rsid w:val="5CA60152"/>
    <w:rsid w:val="60DC2F78"/>
    <w:rsid w:val="62B9193F"/>
    <w:rsid w:val="6488096B"/>
    <w:rsid w:val="67E049F9"/>
    <w:rsid w:val="68CB5C7C"/>
    <w:rsid w:val="6A707931"/>
    <w:rsid w:val="6C271ECE"/>
    <w:rsid w:val="6D0D1A0E"/>
    <w:rsid w:val="6D572252"/>
    <w:rsid w:val="6DAD1F79"/>
    <w:rsid w:val="6E805B45"/>
    <w:rsid w:val="6EBC7B8F"/>
    <w:rsid w:val="71C5015B"/>
    <w:rsid w:val="724E2F94"/>
    <w:rsid w:val="729A0BB7"/>
    <w:rsid w:val="72E5509D"/>
    <w:rsid w:val="74B94A52"/>
    <w:rsid w:val="79465414"/>
    <w:rsid w:val="795027C3"/>
    <w:rsid w:val="7A2915B9"/>
    <w:rsid w:val="7D291B63"/>
    <w:rsid w:val="7FCC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CMCC-RAN4#116</cp:lastModifiedBy>
  <dcterms:modified xsi:type="dcterms:W3CDTF">2025-08-15T06:52:37Z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C96B7865D4B2457DBFDBE90785180E7B</vt:lpwstr>
  </property>
</Properties>
</file>